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1340485</wp:posOffset>
            </wp:positionV>
            <wp:extent cx="6986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6986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6986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Date of Report: September 2021</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001-39368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6986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619"/>
        <w:spacing w:after="0"/>
        <w:rPr>
          <w:sz w:val="20"/>
          <w:szCs w:val="20"/>
          <w:color w:val="auto"/>
        </w:rPr>
      </w:pPr>
      <w:r>
        <w:rPr>
          <w:rFonts w:ascii="Arial" w:cs="Arial" w:eastAsia="Arial" w:hAnsi="Arial"/>
          <w:sz w:val="43"/>
          <w:szCs w:val="43"/>
          <w:b w:val="1"/>
          <w:bCs w:val="1"/>
          <w:color w:val="auto"/>
        </w:rPr>
        <w:t>MAXEON SOLAR TECHNOLOGIES, LTD.</w:t>
      </w:r>
    </w:p>
    <w:p>
      <w:pPr>
        <w:spacing w:after="0" w:line="50"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69862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8 Marina Boulevard #05-02</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Marina Bay Financial Centre</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018981, Singapore</w:t>
      </w:r>
    </w:p>
    <w:p>
      <w:pPr>
        <w:spacing w:after="0" w:line="2"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6986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81" w:lineRule="exact"/>
        <w:rPr>
          <w:sz w:val="24"/>
          <w:szCs w:val="24"/>
          <w:color w:val="auto"/>
        </w:rPr>
      </w:pPr>
    </w:p>
    <w:p>
      <w:pPr>
        <w:ind w:left="4860"/>
        <w:spacing w:after="0" w:line="207" w:lineRule="exact"/>
        <w:tabs>
          <w:tab w:leader="none" w:pos="59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69862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0620"/>
          </w:cols>
          <w:pgMar w:left="320" w:top="1440" w:right="959" w:bottom="1440" w:gutter="0" w:footer="0" w:header="0"/>
        </w:sectPr>
      </w:pPr>
    </w:p>
    <w:bookmarkStart w:id="1" w:name="page2"/>
    <w:bookmarkEnd w:id="1"/>
    <w:p>
      <w:pPr>
        <w:spacing w:after="0" w:line="21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On August 31, 2021, Maxeon Solar Technologies Ltd. (“we”, “us” or the “Company”) held our Annual General Meeting of Shareholders (the “Annual General Meeting”). At the Annual General Meeting, our shareholders voted on seven proposals, each of which is described in more detail in our Notice of</w:t>
      </w:r>
    </w:p>
    <w:p>
      <w:pPr>
        <w:spacing w:after="0" w:line="257" w:lineRule="auto"/>
        <w:rPr>
          <w:sz w:val="20"/>
          <w:szCs w:val="20"/>
          <w:color w:val="auto"/>
        </w:rPr>
      </w:pPr>
      <w:r>
        <w:rPr>
          <w:rFonts w:ascii="Arial" w:cs="Arial" w:eastAsia="Arial" w:hAnsi="Arial"/>
          <w:sz w:val="17"/>
          <w:szCs w:val="17"/>
          <w:color w:val="auto"/>
        </w:rPr>
        <w:t>Annual General Meeting of Shareholders provided to our shareholders. This Notice of Annual General Meeting of Shareholders was also attached as Exhibit 99.1 to a Report of Foreign Private Issuer on Form 6-K that we furnished to the Securities and Exchange Commission on August 10, 2021.</w:t>
      </w:r>
    </w:p>
    <w:p>
      <w:pPr>
        <w:spacing w:after="0" w:line="17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Based on the presence by proxy of holders of our outstanding ordinary shares constituting a quorum, each of the following proposals was duly approved and/or ratified:</w:t>
      </w:r>
    </w:p>
    <w:p>
      <w:pPr>
        <w:spacing w:after="0" w:line="212" w:lineRule="exact"/>
        <w:rPr>
          <w:sz w:val="20"/>
          <w:szCs w:val="20"/>
          <w:color w:val="auto"/>
        </w:rPr>
      </w:pPr>
    </w:p>
    <w:p>
      <w:pPr>
        <w:ind w:left="660" w:right="20" w:hanging="328"/>
        <w:spacing w:after="0" w:line="220" w:lineRule="auto"/>
        <w:tabs>
          <w:tab w:leader="none" w:pos="655" w:val="left"/>
        </w:tabs>
        <w:numPr>
          <w:ilvl w:val="0"/>
          <w:numId w:val="1"/>
        </w:numPr>
        <w:rPr>
          <w:rFonts w:ascii="Arial" w:cs="Arial" w:eastAsia="Arial" w:hAnsi="Arial"/>
          <w:sz w:val="22"/>
          <w:szCs w:val="22"/>
          <w:color w:val="auto"/>
        </w:rPr>
      </w:pPr>
      <w:r>
        <w:rPr>
          <w:rFonts w:ascii="Arial" w:cs="Arial" w:eastAsia="Arial" w:hAnsi="Arial"/>
          <w:sz w:val="18"/>
          <w:szCs w:val="18"/>
          <w:b w:val="1"/>
          <w:bCs w:val="1"/>
          <w:color w:val="auto"/>
        </w:rPr>
        <w:t>Proposal 1</w:t>
      </w:r>
      <w:r>
        <w:rPr>
          <w:rFonts w:ascii="Arial" w:cs="Arial" w:eastAsia="Arial" w:hAnsi="Arial"/>
          <w:sz w:val="18"/>
          <w:szCs w:val="18"/>
          <w:color w:val="auto"/>
        </w:rPr>
        <w:t>: To receive and adopt the Directors’ Statement and Audited Financial Statements for the financial period ended 3 January 2021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Auditor’s Report thereon.</w:t>
      </w:r>
    </w:p>
    <w:p>
      <w:pPr>
        <w:spacing w:after="0" w:line="185"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Proposal 2</w:t>
      </w:r>
      <w:r>
        <w:rPr>
          <w:rFonts w:ascii="Arial" w:cs="Arial" w:eastAsia="Arial" w:hAnsi="Arial"/>
          <w:sz w:val="18"/>
          <w:szCs w:val="18"/>
          <w:color w:val="auto"/>
        </w:rPr>
        <w:t>: To elect Mr. Steven Robert Leonard as a Director pursuant to Regulation 94 of the Constitution of the Company.</w:t>
      </w:r>
    </w:p>
    <w:p>
      <w:pPr>
        <w:spacing w:after="0" w:line="211" w:lineRule="exact"/>
        <w:rPr>
          <w:rFonts w:ascii="Arial" w:cs="Arial" w:eastAsia="Arial" w:hAnsi="Arial"/>
          <w:sz w:val="18"/>
          <w:szCs w:val="18"/>
          <w:color w:val="auto"/>
        </w:rPr>
      </w:pPr>
    </w:p>
    <w:p>
      <w:pPr>
        <w:ind w:left="660" w:hanging="328"/>
        <w:spacing w:after="0" w:line="237" w:lineRule="auto"/>
        <w:tabs>
          <w:tab w:leader="none" w:pos="65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Proposal 3</w:t>
      </w:r>
      <w:r>
        <w:rPr>
          <w:rFonts w:ascii="Arial" w:cs="Arial" w:eastAsia="Arial" w:hAnsi="Arial"/>
          <w:sz w:val="18"/>
          <w:szCs w:val="18"/>
          <w:color w:val="auto"/>
        </w:rPr>
        <w:t>: To approve Mr. Steven Robert Leonard’s Directors' annual fees of US$300,000 to be paid pro rata on a quarterly basis, based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Outside Director Compensation Policy.</w:t>
      </w:r>
    </w:p>
    <w:p>
      <w:pPr>
        <w:spacing w:after="0" w:line="185" w:lineRule="exact"/>
        <w:rPr>
          <w:rFonts w:ascii="Arial" w:cs="Arial" w:eastAsia="Arial" w:hAnsi="Arial"/>
          <w:sz w:val="18"/>
          <w:szCs w:val="18"/>
          <w:b w:val="1"/>
          <w:bCs w:val="1"/>
          <w:color w:val="auto"/>
        </w:rPr>
      </w:pPr>
    </w:p>
    <w:p>
      <w:pPr>
        <w:ind w:left="660" w:right="20" w:hanging="328"/>
        <w:spacing w:after="0" w:line="237" w:lineRule="auto"/>
        <w:tabs>
          <w:tab w:leader="none" w:pos="65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Proposal 4</w:t>
      </w:r>
      <w:r>
        <w:rPr>
          <w:rFonts w:ascii="Arial" w:cs="Arial" w:eastAsia="Arial" w:hAnsi="Arial"/>
          <w:sz w:val="18"/>
          <w:szCs w:val="18"/>
          <w:color w:val="auto"/>
        </w:rPr>
        <w:t>: To re-appoint Ernst &amp; Young LLP as auditors of the Company and to authorize the Audit Committee of the board of directors to fix</w:t>
      </w:r>
      <w:r>
        <w:rPr>
          <w:rFonts w:ascii="Arial" w:cs="Arial" w:eastAsia="Arial" w:hAnsi="Arial"/>
          <w:sz w:val="18"/>
          <w:szCs w:val="18"/>
          <w:b w:val="1"/>
          <w:bCs w:val="1"/>
          <w:color w:val="auto"/>
        </w:rPr>
        <w:t xml:space="preserve"> </w:t>
      </w:r>
      <w:r>
        <w:rPr>
          <w:rFonts w:ascii="Arial" w:cs="Arial" w:eastAsia="Arial" w:hAnsi="Arial"/>
          <w:sz w:val="18"/>
          <w:szCs w:val="18"/>
          <w:color w:val="auto"/>
        </w:rPr>
        <w:t>their remuneration.</w:t>
      </w:r>
    </w:p>
    <w:p>
      <w:pPr>
        <w:spacing w:after="0" w:line="185"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Proposal 5</w:t>
      </w:r>
      <w:r>
        <w:rPr>
          <w:rFonts w:ascii="Arial" w:cs="Arial" w:eastAsia="Arial" w:hAnsi="Arial"/>
          <w:sz w:val="18"/>
          <w:szCs w:val="18"/>
          <w:color w:val="auto"/>
        </w:rPr>
        <w:t>: To approve the Directors of the Company to issue shares pursuant to Section 161 of the Companies Act, Cap. 50.</w:t>
      </w:r>
    </w:p>
    <w:p>
      <w:pPr>
        <w:spacing w:after="0" w:line="211"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Proposal 6</w:t>
      </w:r>
      <w:r>
        <w:rPr>
          <w:rFonts w:ascii="Arial" w:cs="Arial" w:eastAsia="Arial" w:hAnsi="Arial"/>
          <w:sz w:val="16"/>
          <w:szCs w:val="16"/>
          <w:color w:val="auto"/>
        </w:rPr>
        <w:t>: To approve the renewal of the FPTC Share Buyback Mandate (as defined in the Notice of Annual General Meeting of Shareholders).</w:t>
      </w:r>
    </w:p>
    <w:p>
      <w:pPr>
        <w:spacing w:after="0" w:line="234" w:lineRule="exact"/>
        <w:rPr>
          <w:rFonts w:ascii="Arial" w:cs="Arial" w:eastAsia="Arial" w:hAnsi="Arial"/>
          <w:sz w:val="16"/>
          <w:szCs w:val="16"/>
          <w:b w:val="1"/>
          <w:bCs w:val="1"/>
          <w:color w:val="auto"/>
        </w:rPr>
      </w:pPr>
    </w:p>
    <w:p>
      <w:pPr>
        <w:ind w:left="660" w:hanging="328"/>
        <w:spacing w:after="0"/>
        <w:tabs>
          <w:tab w:leader="none" w:pos="6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Proposal 7</w:t>
      </w:r>
      <w:r>
        <w:rPr>
          <w:rFonts w:ascii="Arial" w:cs="Arial" w:eastAsia="Arial" w:hAnsi="Arial"/>
          <w:sz w:val="16"/>
          <w:szCs w:val="16"/>
          <w:color w:val="auto"/>
        </w:rPr>
        <w:t>: To approve the renewal of the MLI Share Buyback Mandate (as defined in the Notice of Annual General Meeting of Shareholders).</w:t>
      </w:r>
    </w:p>
    <w:p>
      <w:pPr>
        <w:sectPr>
          <w:pgSz w:w="11900" w:h="16838" w:orient="portrait"/>
          <w:cols w:equalWidth="0" w:num="1">
            <w:col w:w="11240"/>
          </w:cols>
          <w:pgMar w:left="320" w:top="1440" w:right="339" w:bottom="1440" w:gutter="0" w:footer="0" w:header="0"/>
        </w:sectPr>
      </w:pPr>
    </w:p>
    <w:bookmarkStart w:id="2" w:name="page3"/>
    <w:bookmarkEnd w:id="2"/>
    <w:p>
      <w:pPr>
        <w:ind w:left="50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MAXEON SOLAR TECHNOLOGIES, LTD.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332" w:lineRule="exact"/>
        <w:rPr>
          <w:sz w:val="20"/>
          <w:szCs w:val="20"/>
          <w:color w:val="auto"/>
        </w:rPr>
      </w:pPr>
    </w:p>
    <w:p>
      <w:pPr>
        <w:ind w:left="20"/>
        <w:spacing w:after="0"/>
        <w:tabs>
          <w:tab w:leader="none" w:pos="5600" w:val="left"/>
          <w:tab w:leader="none" w:pos="6220" w:val="left"/>
        </w:tabs>
        <w:rPr>
          <w:sz w:val="20"/>
          <w:szCs w:val="20"/>
          <w:color w:val="auto"/>
        </w:rPr>
      </w:pPr>
      <w:r>
        <w:rPr>
          <w:rFonts w:ascii="Arial" w:cs="Arial" w:eastAsia="Arial" w:hAnsi="Arial"/>
          <w:sz w:val="18"/>
          <w:szCs w:val="18"/>
          <w:color w:val="auto"/>
        </w:rPr>
        <w:t>September 7,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Kai Strohbecke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31750</wp:posOffset>
            </wp:positionV>
            <wp:extent cx="31889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Kai Strohbecke</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280"/>
      </w:cols>
      <w:pgMar w:left="320" w:top="1093"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2021-09-07T06:46:53Z</dcterms:created>
  <dcterms:modified xsi:type="dcterms:W3CDTF">2021-09-07T06:46:53Z</dcterms:modified>
</cp:coreProperties>
</file>